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326AD65-21D4-4BC7-A2B2-7662DFF81AA1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