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E491A1D-DB60-44B1-8111-EBD1C9027E9D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