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B48" w:rsidRDefault="00687B48" w:rsidP="00687B48"/>
    <w:p w:rsidR="00687B48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687B48" w:rsidRDefault="00687B48" w:rsidP="00687B48">
      <w:pPr>
        <w:rPr>
          <w:lang w:val="en-US"/>
        </w:rPr>
      </w:pPr>
      <w:r w:rsidRPr="00172561">
        <w:rPr>
          <w:lang w:val="en-US"/>
        </w:rPr>
        <w:t>Urinoir à action siphonique</w:t>
      </w:r>
      <w:r>
        <w:rPr>
          <w:lang w:val="en-US"/>
        </w:rPr>
        <w:t xml:space="preserve">, avec alimentation et évacuation cachée, </w:t>
      </w:r>
      <w:r w:rsidRPr="00172561">
        <w:rPr>
          <w:lang w:val="en-US"/>
        </w:rPr>
        <w:t>fabriqué en porcelaine sanitaire  avec une absorption d’eau de maximum 0,5%, et conforme aux normes CE, EN 13407</w:t>
      </w:r>
      <w:r>
        <w:rPr>
          <w:lang w:val="en-US"/>
        </w:rPr>
        <w:t>.</w:t>
      </w:r>
    </w:p>
    <w:p w:rsidR="00687B48" w:rsidRDefault="00687B48" w:rsidP="00687B48">
      <w:pPr>
        <w:rPr>
          <w:lang w:val="en-US"/>
        </w:rPr>
      </w:pPr>
      <w:r w:rsidRPr="00E774EE">
        <w:rPr>
          <w:lang w:val="en-US"/>
        </w:rPr>
        <w:t xml:space="preserve">L’urinoir </w:t>
      </w:r>
      <w:r>
        <w:rPr>
          <w:lang w:val="en-US"/>
        </w:rPr>
        <w:t>a un design triangulaire avec</w:t>
      </w:r>
      <w:r w:rsidRPr="00E774EE">
        <w:rPr>
          <w:lang w:val="en-US"/>
        </w:rPr>
        <w:t xml:space="preserve"> un dos </w:t>
      </w:r>
      <w:r>
        <w:rPr>
          <w:lang w:val="en-US"/>
        </w:rPr>
        <w:t>plat</w:t>
      </w:r>
      <w:r w:rsidRPr="00E774EE">
        <w:rPr>
          <w:lang w:val="en-US"/>
        </w:rPr>
        <w:t xml:space="preserve"> destiné à un montage mural</w:t>
      </w:r>
      <w:r>
        <w:rPr>
          <w:lang w:val="en-US"/>
        </w:rPr>
        <w:t xml:space="preserve"> et</w:t>
      </w:r>
      <w:r w:rsidRPr="00E774EE">
        <w:rPr>
          <w:lang w:val="en-US"/>
        </w:rPr>
        <w:t xml:space="preserve"> </w:t>
      </w:r>
      <w:r>
        <w:rPr>
          <w:lang w:val="en-US"/>
        </w:rPr>
        <w:t>est dote d’</w:t>
      </w:r>
      <w:bookmarkStart w:id="0" w:name="_GoBack"/>
      <w:bookmarkEnd w:id="0"/>
      <w:r w:rsidRPr="00E774EE">
        <w:rPr>
          <w:lang w:val="en-US"/>
        </w:rPr>
        <w:t>un vase particulièrement saillant</w:t>
      </w:r>
      <w:r>
        <w:rPr>
          <w:lang w:val="en-US"/>
        </w:rPr>
        <w:t>.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Le rebord de rinçage est émaillé sur tout le pourtour et comporte des orifices de rinçage au-dessus pour assurer une bonne répartition de l’eau.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Homologué pour un rinçage avec un volume d’eau de 1L.</w:t>
      </w:r>
    </w:p>
    <w:p w:rsidR="00687B48" w:rsidRDefault="00687B48" w:rsidP="00687B48">
      <w:pPr>
        <w:rPr>
          <w:lang w:val="en-US"/>
        </w:rPr>
      </w:pPr>
      <w:r>
        <w:rPr>
          <w:lang w:val="en-US"/>
        </w:rPr>
        <w:t xml:space="preserve">L’urinoir est pourvu d’une seconde couche d’émail. </w:t>
      </w:r>
    </w:p>
    <w:p w:rsidR="00687B48" w:rsidRPr="00023754" w:rsidRDefault="00687B48" w:rsidP="00687B48">
      <w:pPr>
        <w:rPr>
          <w:lang w:val="en-US"/>
        </w:rPr>
      </w:pPr>
      <w:r>
        <w:rPr>
          <w:lang w:val="en-US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</w:p>
    <w:p w:rsidR="00687B48" w:rsidRPr="00E774EE" w:rsidRDefault="00687B48" w:rsidP="00687B48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687B48" w:rsidRDefault="00687B48" w:rsidP="00687B48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:rsidR="00687B48" w:rsidRPr="008C5A75" w:rsidRDefault="00687B48" w:rsidP="00687B48">
      <w:pPr>
        <w:rPr>
          <w:lang w:val="fr-BE"/>
        </w:rPr>
      </w:pPr>
    </w:p>
    <w:p w:rsidR="00687B48" w:rsidRPr="00C206EA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Materiaux et caractéristiques</w:t>
      </w:r>
    </w:p>
    <w:p w:rsidR="00687B48" w:rsidRDefault="00687B48" w:rsidP="00687B4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:rsidR="00687B48" w:rsidRPr="00E15FF8" w:rsidRDefault="00687B48" w:rsidP="00687B48">
      <w:pPr>
        <w:rPr>
          <w:lang w:val="en-US"/>
        </w:rPr>
      </w:pPr>
      <w:r w:rsidRPr="00E15FF8">
        <w:rPr>
          <w:lang w:val="en-US"/>
        </w:rPr>
        <w:t>Porcelaine sanitaire  avec une absorption d’eau de maximum 0,5%</w:t>
      </w:r>
    </w:p>
    <w:p w:rsidR="00687B48" w:rsidRDefault="00687B48" w:rsidP="00687B48">
      <w:pPr>
        <w:rPr>
          <w:lang w:val="fr-BE"/>
        </w:rPr>
      </w:pPr>
    </w:p>
    <w:p w:rsidR="00687B48" w:rsidRPr="00687B48" w:rsidRDefault="00687B48" w:rsidP="00687B48">
      <w:pPr>
        <w:rPr>
          <w:b/>
          <w:lang w:val="en-US"/>
        </w:rPr>
      </w:pPr>
      <w:r>
        <w:rPr>
          <w:lang w:val="fr-BE"/>
        </w:rPr>
        <w:t xml:space="preserve">2.2  </w:t>
      </w:r>
      <w:r w:rsidRPr="00687B48">
        <w:rPr>
          <w:b/>
          <w:lang w:val="en-US"/>
        </w:rPr>
        <w:t>Caractéristiques</w:t>
      </w:r>
    </w:p>
    <w:p w:rsidR="00687B48" w:rsidRPr="00687B48" w:rsidRDefault="00687B48" w:rsidP="00687B48">
      <w:pPr>
        <w:rPr>
          <w:b/>
          <w:lang w:val="en-US"/>
        </w:rPr>
      </w:pPr>
    </w:p>
    <w:p w:rsidR="00687B48" w:rsidRPr="00F67E08" w:rsidRDefault="00687B48" w:rsidP="00687B48">
      <w:pPr>
        <w:rPr>
          <w:lang w:val="en-US"/>
        </w:rPr>
      </w:pPr>
      <w:r w:rsidRPr="00F67E08">
        <w:rPr>
          <w:lang w:val="en-US"/>
        </w:rPr>
        <w:t>Modèle mural</w:t>
      </w:r>
    </w:p>
    <w:p w:rsidR="00687B48" w:rsidRPr="00FC7112" w:rsidRDefault="00687B48" w:rsidP="00687B48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687B48" w:rsidRPr="00E15FF8" w:rsidRDefault="00687B48" w:rsidP="00687B48">
      <w:pPr>
        <w:rPr>
          <w:lang w:val="en-US"/>
        </w:rPr>
      </w:pPr>
      <w:r w:rsidRPr="00E15FF8">
        <w:rPr>
          <w:lang w:val="en-US"/>
        </w:rPr>
        <w:t xml:space="preserve">Evacuation vers l’arrière 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Fixations visibles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Rinçage via le rebord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Avec Keratect</w:t>
      </w:r>
    </w:p>
    <w:p w:rsidR="00687B48" w:rsidRDefault="00687B48" w:rsidP="00687B48">
      <w:r>
        <w:t>Largeur: 35cm</w:t>
      </w:r>
    </w:p>
    <w:p w:rsidR="00687B48" w:rsidRDefault="00687B48" w:rsidP="00687B48">
      <w:r>
        <w:t>Hauteur: 56,5cm</w:t>
      </w:r>
    </w:p>
    <w:p w:rsidR="00687B48" w:rsidRPr="00CE7BC3" w:rsidRDefault="00687B48" w:rsidP="00687B48">
      <w:r>
        <w:t>Profondeur: 35cm</w:t>
      </w:r>
    </w:p>
    <w:p w:rsidR="00687B48" w:rsidRDefault="00687B48" w:rsidP="00687B48">
      <w:r>
        <w:t>Couleur: blanc</w:t>
      </w:r>
    </w:p>
    <w:p w:rsidR="00687B48" w:rsidRPr="002F1A08" w:rsidRDefault="00687B48" w:rsidP="00687B48"/>
    <w:p w:rsidR="00687B48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87B48" w:rsidRDefault="00687B48" w:rsidP="00687B48">
      <w:r w:rsidRPr="00BE025E">
        <w:rPr>
          <w:lang w:val="en-US"/>
        </w:rPr>
        <w:t xml:space="preserve">La fixation se fait au moyen de 2 boulons. </w:t>
      </w:r>
      <w:r>
        <w:t>L’entraxe de fixation est de 255 mm.</w:t>
      </w:r>
    </w:p>
    <w:p w:rsidR="00687B48" w:rsidRPr="007A6F8A" w:rsidRDefault="00687B48" w:rsidP="00687B48"/>
    <w:p w:rsidR="00687B48" w:rsidRDefault="00687B48" w:rsidP="00687B48">
      <w:pPr>
        <w:rPr>
          <w:lang w:val="fr-FR"/>
        </w:rPr>
      </w:pPr>
    </w:p>
    <w:p w:rsidR="00687B48" w:rsidRDefault="00687B48" w:rsidP="00687B48">
      <w:pPr>
        <w:rPr>
          <w:lang w:val="fr-FR"/>
        </w:rPr>
      </w:pPr>
    </w:p>
    <w:p w:rsidR="00687B48" w:rsidRDefault="00687B48" w:rsidP="00687B48">
      <w:pPr>
        <w:rPr>
          <w:lang w:val="fr-FR"/>
        </w:rPr>
      </w:pPr>
    </w:p>
    <w:p w:rsidR="00687B48" w:rsidRPr="00694F33" w:rsidRDefault="00687B48" w:rsidP="00687B48">
      <w:pPr>
        <w:rPr>
          <w:lang w:val="fr-FR"/>
        </w:rPr>
      </w:pPr>
    </w:p>
    <w:p w:rsidR="00687B48" w:rsidRPr="003E31F1" w:rsidRDefault="00687B48" w:rsidP="00687B48">
      <w:pPr>
        <w:rPr>
          <w:lang w:val="fr-BE"/>
        </w:rPr>
      </w:pPr>
    </w:p>
    <w:p w:rsidR="00687B48" w:rsidRPr="008C5A75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Illustration</w:t>
      </w: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326B9E" wp14:editId="7C578BB3">
            <wp:extent cx="2775349" cy="2817241"/>
            <wp:effectExtent l="0" t="0" r="6350" b="254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6478" cy="2838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Pr="00687B48" w:rsidRDefault="00687B48" w:rsidP="00687B48">
      <w:pPr>
        <w:rPr>
          <w:lang w:val="en-US"/>
        </w:r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3EB" w:rsidRDefault="00C103EB">
      <w:r>
        <w:separator/>
      </w:r>
    </w:p>
  </w:endnote>
  <w:endnote w:type="continuationSeparator" w:id="0">
    <w:p w:rsidR="00C103EB" w:rsidRDefault="00C10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3EB" w:rsidRDefault="00C103EB">
      <w:r>
        <w:separator/>
      </w:r>
    </w:p>
  </w:footnote>
  <w:footnote w:type="continuationSeparator" w:id="0">
    <w:p w:rsidR="00C103EB" w:rsidRDefault="00C10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B48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687B48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Evacuation vers l’arrière</w:t>
    </w:r>
  </w:p>
  <w:p w:rsidR="00025544" w:rsidRPr="003E31F1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Avec</w:t>
    </w:r>
    <w:r w:rsidR="00D92B46">
      <w:rPr>
        <w:rFonts w:ascii="Arial" w:hAnsi="Arial" w:cs="Arial"/>
        <w:b/>
        <w:szCs w:val="24"/>
        <w:lang w:val="fr-BE"/>
      </w:rPr>
      <w:t xml:space="preserve"> keratect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87B48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03EB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FDCED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6197F62-9522-4ED5-B49B-CA92720A6D2A}"/>
</file>

<file path=customXml/itemProps2.xml><?xml version="1.0" encoding="utf-8"?>
<ds:datastoreItem xmlns:ds="http://schemas.openxmlformats.org/officeDocument/2006/customXml" ds:itemID="{65C0D4F9-BB18-486F-A1C3-FBD21441F9A9}"/>
</file>

<file path=customXml/itemProps3.xml><?xml version="1.0" encoding="utf-8"?>
<ds:datastoreItem xmlns:ds="http://schemas.openxmlformats.org/officeDocument/2006/customXml" ds:itemID="{E91013D5-6EFB-41BE-A654-4CDE525ACAB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33</TotalTime>
  <Pages>2</Pages>
  <Words>231</Words>
  <Characters>1275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13</cp:revision>
  <cp:lastPrinted>2011-12-15T11:14:00Z</cp:lastPrinted>
  <dcterms:created xsi:type="dcterms:W3CDTF">2020-04-08T13:29:00Z</dcterms:created>
  <dcterms:modified xsi:type="dcterms:W3CDTF">2020-05-27T12:38:00Z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446400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