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6E7CDC-108A-4CC2-8B38-72B15F036465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