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7BD9DF-4B58-46A1-B6E7-6FC9186186C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