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15F1FD3-D8D7-49A3-BCA5-C5E37565EF54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