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73547DF-AAD3-4E84-8BB8-45D70BAE7342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