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178FD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5BB7F1F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suspendue</w:t>
      </w:r>
      <w:r w:rsidR="003653E1">
        <w:rPr>
          <w:rFonts w:ascii="Arial" w:hAnsi="Arial" w:cs="Arial"/>
          <w:lang w:val="fr-FR"/>
        </w:rPr>
        <w:t xml:space="preserve"> avec dimensions de raccordement selon </w:t>
      </w:r>
      <w:r w:rsidR="00C27F1D">
        <w:rPr>
          <w:rFonts w:ascii="Arial" w:hAnsi="Arial" w:cs="Arial"/>
          <w:lang w:val="fr-FR"/>
        </w:rPr>
        <w:t xml:space="preserve">NBN </w:t>
      </w:r>
      <w:r w:rsidR="003653E1">
        <w:rPr>
          <w:rFonts w:ascii="Arial" w:hAnsi="Arial" w:cs="Arial"/>
          <w:lang w:val="fr-FR"/>
        </w:rPr>
        <w:t>EN 33:2011</w:t>
      </w:r>
      <w:r w:rsidR="00B40A3F">
        <w:rPr>
          <w:rFonts w:ascii="Arial" w:hAnsi="Arial" w:cs="Arial"/>
          <w:lang w:val="fr-FR"/>
        </w:rPr>
        <w:t xml:space="preserve"> </w:t>
      </w:r>
      <w:r w:rsidR="005A1470">
        <w:rPr>
          <w:rFonts w:ascii="Arial" w:hAnsi="Arial" w:cs="Arial"/>
          <w:lang w:val="fr-FR"/>
        </w:rPr>
        <w:t>:</w:t>
      </w:r>
    </w:p>
    <w:p w14:paraId="05086975" w14:textId="77777777" w:rsidR="003653E1" w:rsidRPr="00A0780F" w:rsidRDefault="003653E1" w:rsidP="003653E1">
      <w:pPr>
        <w:pStyle w:val="Bulleted2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 xml:space="preserve">pour </w:t>
      </w:r>
      <w:r w:rsidR="008A1870"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FR"/>
        </w:rPr>
        <w:t xml:space="preserve">montage </w:t>
      </w:r>
      <w:r w:rsidRPr="00F86A6E">
        <w:rPr>
          <w:rFonts w:ascii="Arial" w:hAnsi="Arial" w:cs="Arial"/>
          <w:lang w:val="fr-FR"/>
        </w:rPr>
        <w:t xml:space="preserve">contre un mur et à recouvrir de plaques de </w:t>
      </w:r>
      <w:r w:rsidR="0003064C">
        <w:rPr>
          <w:rFonts w:ascii="Arial" w:hAnsi="Arial" w:cs="Arial"/>
          <w:lang w:val="fr-FR"/>
        </w:rPr>
        <w:t>finition (</w:t>
      </w:r>
      <w:r w:rsidRPr="00F86A6E">
        <w:rPr>
          <w:rFonts w:ascii="Arial" w:hAnsi="Arial" w:cs="Arial"/>
          <w:lang w:val="fr-FR"/>
        </w:rPr>
        <w:t>plâtre</w:t>
      </w:r>
      <w:r w:rsidR="0003064C">
        <w:rPr>
          <w:rFonts w:ascii="Arial" w:hAnsi="Arial" w:cs="Arial"/>
          <w:lang w:val="fr-FR"/>
        </w:rPr>
        <w:t>, …)</w:t>
      </w:r>
    </w:p>
    <w:p w14:paraId="2EC272E4" w14:textId="77777777" w:rsidR="00A0780F" w:rsidRPr="003653E1" w:rsidRDefault="004175C6" w:rsidP="003653E1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pour le montage dans des cloisons (cloisons en applique ou cloisons de séparation)</w:t>
      </w:r>
    </w:p>
    <w:p w14:paraId="74BE4FF2" w14:textId="6415F305" w:rsidR="0029107D" w:rsidRDefault="0029107D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l'élément de montage </w:t>
      </w:r>
      <w:r w:rsidR="0003064C">
        <w:rPr>
          <w:rFonts w:ascii="Arial" w:hAnsi="Arial" w:cs="Arial"/>
          <w:lang w:val="fr-FR"/>
        </w:rPr>
        <w:t>possède</w:t>
      </w:r>
      <w:r>
        <w:rPr>
          <w:rFonts w:ascii="Arial" w:hAnsi="Arial" w:cs="Arial"/>
          <w:lang w:val="fr-FR"/>
        </w:rPr>
        <w:t xml:space="preserve"> des fixations murales </w:t>
      </w:r>
      <w:r w:rsidR="00531552">
        <w:rPr>
          <w:rFonts w:ascii="Arial" w:hAnsi="Arial" w:cs="Arial"/>
          <w:lang w:val="fr-FR"/>
        </w:rPr>
        <w:t xml:space="preserve">qui </w:t>
      </w:r>
      <w:r w:rsidR="00D47570">
        <w:rPr>
          <w:rFonts w:ascii="Arial" w:hAnsi="Arial" w:cs="Arial"/>
          <w:lang w:val="fr-FR"/>
        </w:rPr>
        <w:t>sont orientables sur 360°</w:t>
      </w:r>
    </w:p>
    <w:p w14:paraId="62DD18F6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571389CE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239A8804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7A60D5AB" w14:textId="4E74245B" w:rsidR="004175C6" w:rsidRPr="00AB4117" w:rsidRDefault="004175C6" w:rsidP="004175C6">
      <w:pPr>
        <w:pStyle w:val="Bulleted2"/>
        <w:rPr>
          <w:rFonts w:ascii="Arial" w:hAnsi="Arial"/>
          <w:lang w:val="fr-FR"/>
        </w:rPr>
      </w:pPr>
      <w:r w:rsidRPr="00AB4117">
        <w:rPr>
          <w:rFonts w:ascii="Arial" w:hAnsi="Arial"/>
          <w:lang w:val="fr-FR"/>
        </w:rPr>
        <w:t>réservoir de chasse à encastrer</w:t>
      </w:r>
      <w:r w:rsidR="003C7987" w:rsidRPr="00AB4117">
        <w:rPr>
          <w:rFonts w:ascii="Arial" w:hAnsi="Arial"/>
          <w:lang w:val="fr-FR"/>
        </w:rPr>
        <w:t xml:space="preserve"> </w:t>
      </w:r>
      <w:r w:rsidRPr="00AB4117">
        <w:rPr>
          <w:rFonts w:ascii="Arial" w:hAnsi="Arial"/>
          <w:lang w:val="fr-FR"/>
        </w:rPr>
        <w:t xml:space="preserve">: </w:t>
      </w:r>
      <w:r w:rsidR="00AB4117">
        <w:rPr>
          <w:rFonts w:ascii="Arial" w:hAnsi="Arial"/>
          <w:lang w:val="fr-FR"/>
        </w:rPr>
        <w:br/>
      </w:r>
      <w:r w:rsidRPr="00AB4117">
        <w:rPr>
          <w:rFonts w:ascii="Arial" w:hAnsi="Arial"/>
          <w:lang w:val="fr-FR"/>
        </w:rPr>
        <w:t xml:space="preserve">voir </w:t>
      </w:r>
      <w:r w:rsidR="00F04D55">
        <w:rPr>
          <w:rFonts w:ascii="Arial" w:hAnsi="Arial"/>
          <w:lang w:val="fr-FR"/>
        </w:rPr>
        <w:t>DESCRIPTION DETAILLEE DU RESERVOIR DE CHASSE A ENCASTRER</w:t>
      </w:r>
    </w:p>
    <w:p w14:paraId="6FF2079D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331B1409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F733CD">
        <w:rPr>
          <w:rFonts w:ascii="Arial" w:hAnsi="Arial"/>
          <w:b/>
          <w:u w:val="none"/>
        </w:rPr>
        <w:t>x</w:t>
      </w:r>
      <w:proofErr w:type="spellEnd"/>
    </w:p>
    <w:p w14:paraId="30DC7CCE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15ACB505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276414" w:rsidRPr="00234F4A">
        <w:rPr>
          <w:rFonts w:ascii="Arial" w:hAnsi="Arial"/>
          <w:lang w:val="fr-FR"/>
        </w:rPr>
        <w:t xml:space="preserve">,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 xml:space="preserve">des </w:t>
      </w:r>
      <w:r w:rsidR="00024397">
        <w:rPr>
          <w:rFonts w:ascii="Arial" w:hAnsi="Arial"/>
          <w:lang w:val="fr-FR"/>
        </w:rPr>
        <w:t>pieds supports</w:t>
      </w:r>
      <w:r w:rsidR="00234F4A" w:rsidRPr="00234F4A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234F4A">
        <w:rPr>
          <w:rFonts w:ascii="Arial" w:hAnsi="Arial"/>
          <w:lang w:val="fr-FR"/>
        </w:rPr>
        <w:t>fixations murales</w:t>
      </w:r>
      <w:r w:rsidR="00276414" w:rsidRPr="00234F4A">
        <w:rPr>
          <w:rFonts w:ascii="Arial" w:hAnsi="Arial"/>
          <w:lang w:val="fr-FR"/>
        </w:rPr>
        <w:t xml:space="preserve"> </w:t>
      </w:r>
      <w:r w:rsidR="00234F4A">
        <w:rPr>
          <w:rFonts w:ascii="Arial" w:hAnsi="Arial"/>
          <w:lang w:val="fr-FR"/>
        </w:rPr>
        <w:t>sont zingués</w:t>
      </w:r>
    </w:p>
    <w:p w14:paraId="1DA92D8D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7E453E8E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110427">
        <w:rPr>
          <w:rFonts w:ascii="Arial" w:hAnsi="Arial" w:cs="Arial"/>
          <w:lang w:val="fr-FR"/>
        </w:rPr>
        <w:t xml:space="preserve"> </w:t>
      </w:r>
      <w:r w:rsidR="00731A03">
        <w:rPr>
          <w:rFonts w:ascii="Arial" w:hAnsi="Arial" w:cs="Arial"/>
          <w:lang w:val="fr-FR"/>
        </w:rPr>
        <w:t xml:space="preserve">et le coude d'évacuation </w:t>
      </w:r>
      <w:r w:rsidR="00731A03" w:rsidRPr="00F86A6E">
        <w:rPr>
          <w:rFonts w:ascii="Arial" w:hAnsi="Arial" w:cs="Arial"/>
          <w:lang w:val="fr-FR"/>
        </w:rPr>
        <w:t>(ø90</w:t>
      </w:r>
      <w:r w:rsidR="00731A03">
        <w:rPr>
          <w:rFonts w:ascii="Arial" w:hAnsi="Arial" w:cs="Arial"/>
          <w:lang w:val="fr-FR"/>
        </w:rPr>
        <w:t xml:space="preserve"> mm</w:t>
      </w:r>
      <w:r w:rsidR="00731A03" w:rsidRPr="00F86A6E">
        <w:rPr>
          <w:rFonts w:ascii="Arial" w:hAnsi="Arial" w:cs="Arial"/>
          <w:lang w:val="fr-FR"/>
        </w:rPr>
        <w:t>)</w:t>
      </w:r>
      <w:r w:rsidR="00731A03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417DC09A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1052A6E5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4DD95597" w14:textId="2CD30C8B" w:rsidR="002B524B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3794F941" w14:textId="4B648DF1" w:rsidR="00BC2BF6" w:rsidRPr="00F86A6E" w:rsidRDefault="00BC2BF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fixation sans vis du réservoir de chasse à encastrer dans le cadre</w:t>
      </w:r>
    </w:p>
    <w:p w14:paraId="25B556C0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38CDD5DF" w14:textId="038E00CE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</w:t>
      </w:r>
      <w:r w:rsidR="00D86B34">
        <w:rPr>
          <w:rFonts w:ascii="Arial" w:hAnsi="Arial" w:cs="Arial"/>
          <w:lang w:val="fr-FR"/>
        </w:rPr>
        <w:t>)</w:t>
      </w:r>
    </w:p>
    <w:p w14:paraId="4B92A8D9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546468B1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2B1142AB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503750F8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752A126E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6A120C15" w14:textId="5B00630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 xml:space="preserve">) et collier avec doublure </w:t>
      </w:r>
      <w:r w:rsidR="00F836DD">
        <w:rPr>
          <w:rFonts w:ascii="Arial" w:hAnsi="Arial" w:cs="Arial"/>
          <w:lang w:val="fr-FR"/>
        </w:rPr>
        <w:t>acoustique</w:t>
      </w:r>
    </w:p>
    <w:p w14:paraId="516660DD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5F9ED2F4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6B0FBE38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5601538B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0BEED63D" w14:textId="1DD6E380" w:rsidR="00FF2766" w:rsidRDefault="00357A2E" w:rsidP="00FF2766">
      <w:pPr>
        <w:pStyle w:val="Bulleted1"/>
        <w:rPr>
          <w:lang w:val="fr-BE"/>
        </w:rPr>
      </w:pPr>
      <w:r>
        <w:rPr>
          <w:lang w:val="fr-FR"/>
        </w:rPr>
        <w:t xml:space="preserve">le </w:t>
      </w:r>
      <w:r w:rsidR="00FF2766">
        <w:rPr>
          <w:lang w:val="fr-FR"/>
        </w:rPr>
        <w:t>s</w:t>
      </w:r>
      <w:r w:rsidR="00FF2766" w:rsidRPr="00F86A6E">
        <w:rPr>
          <w:lang w:val="fr-FR"/>
        </w:rPr>
        <w:t>et de fixation murale</w:t>
      </w:r>
      <w:r w:rsidR="00F964A1">
        <w:rPr>
          <w:lang w:val="fr-FR"/>
        </w:rPr>
        <w:t>,</w:t>
      </w:r>
      <w:r w:rsidR="00FF2766" w:rsidRPr="00F86A6E">
        <w:rPr>
          <w:lang w:val="fr-FR"/>
        </w:rPr>
        <w:t xml:space="preserve"> pour la fixation de l'élément contre un mur</w:t>
      </w:r>
      <w:r w:rsidR="00F964A1">
        <w:rPr>
          <w:lang w:val="fr-FR"/>
        </w:rPr>
        <w:t>,</w:t>
      </w:r>
      <w:r w:rsidR="00FF2766">
        <w:rPr>
          <w:lang w:val="fr-FR"/>
        </w:rPr>
        <w:t xml:space="preserve"> </w:t>
      </w:r>
      <w:r w:rsidR="00FF2766" w:rsidRPr="00F86A6E">
        <w:rPr>
          <w:lang w:val="fr-FR"/>
        </w:rPr>
        <w:t>se compose de</w:t>
      </w:r>
      <w:r w:rsidR="00FF2766">
        <w:rPr>
          <w:lang w:val="fr-FR"/>
        </w:rPr>
        <w:t xml:space="preserve"> </w:t>
      </w:r>
      <w:r w:rsidR="00FF2766" w:rsidRPr="00C0538B">
        <w:rPr>
          <w:lang w:val="fr-BE"/>
        </w:rPr>
        <w:t>2 béquilles métalliques murales avec vis de réglage</w:t>
      </w:r>
      <w:r w:rsidR="003A3E84">
        <w:rPr>
          <w:lang w:val="fr-BE"/>
        </w:rPr>
        <w:t xml:space="preserve"> (M10)</w:t>
      </w:r>
      <w:r w:rsidR="00FF2766" w:rsidRPr="00C0538B">
        <w:rPr>
          <w:lang w:val="fr-BE"/>
        </w:rPr>
        <w:t>, ajustables en profondeur sans cran</w:t>
      </w:r>
      <w:r w:rsidR="000D00DB">
        <w:rPr>
          <w:lang w:val="fr-BE"/>
        </w:rPr>
        <w:t>,</w:t>
      </w:r>
      <w:r w:rsidR="003A3E84">
        <w:rPr>
          <w:lang w:val="fr-BE"/>
        </w:rPr>
        <w:t xml:space="preserve"> par le devant</w:t>
      </w:r>
      <w:r w:rsidR="00FF2766" w:rsidRPr="00C0538B">
        <w:rPr>
          <w:lang w:val="fr-BE"/>
        </w:rPr>
        <w:t>; pour le réglage de la profondeur de la cloison en applique</w:t>
      </w:r>
    </w:p>
    <w:p w14:paraId="649D945C" w14:textId="77777777" w:rsidR="003A3E84" w:rsidRDefault="003A3E84" w:rsidP="00FF2766">
      <w:pPr>
        <w:pStyle w:val="Bulleted1"/>
        <w:rPr>
          <w:lang w:val="fr-BE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0C518217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454"/>
      </w:tblGrid>
      <w:tr w:rsidR="0020639C" w:rsidRPr="00F86A6E" w14:paraId="4FE72572" w14:textId="77777777" w:rsidTr="003C7987">
        <w:tc>
          <w:tcPr>
            <w:tcW w:w="1441" w:type="dxa"/>
          </w:tcPr>
          <w:p w14:paraId="2DF858B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B702C57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961C08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622BF8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E19528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</w:tcPr>
          <w:p w14:paraId="2C80451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9BF8916" w14:textId="77777777" w:rsidTr="003C7987">
        <w:tc>
          <w:tcPr>
            <w:tcW w:w="1441" w:type="dxa"/>
          </w:tcPr>
          <w:p w14:paraId="7194790D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7F4E47A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38EE06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E8777D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E0DEB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</w:tcPr>
          <w:p w14:paraId="071B9F6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</w:tbl>
    <w:p w14:paraId="4F0AA51D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666D30EF" w14:textId="10FFF41D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4644AA64" w14:textId="53499E76" w:rsidR="00E2608B" w:rsidRDefault="00E2608B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A50F06E" w14:textId="0CFE047B" w:rsidR="00E2608B" w:rsidRDefault="00E2608B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7FE92B7" w14:textId="291E7D33" w:rsidR="00E2608B" w:rsidRDefault="00E2608B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1B5D1B7" w14:textId="073B1833" w:rsidR="00E2608B" w:rsidRPr="00E2608B" w:rsidRDefault="00E2608B" w:rsidP="00AB1793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3EEEE1EE" w14:textId="6D5E2D24" w:rsidR="00E2608B" w:rsidRDefault="00E2608B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27DCAAF" w14:textId="77777777" w:rsidR="00E2608B" w:rsidRPr="00E2608B" w:rsidRDefault="00E2608B" w:rsidP="00E2608B">
      <w:pPr>
        <w:pStyle w:val="Heading1"/>
        <w:numPr>
          <w:ilvl w:val="0"/>
          <w:numId w:val="27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7ED54CA6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57EA7B88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5991FABA" w14:textId="77777777" w:rsidR="00E2608B" w:rsidRPr="00F86A6E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504CA81B" w14:textId="77777777" w:rsidR="00E2608B" w:rsidRPr="00A90015" w:rsidRDefault="00E2608B" w:rsidP="00E2608B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27D9FB49" w14:textId="77777777" w:rsidR="00E2608B" w:rsidRPr="00981C24" w:rsidRDefault="00E2608B" w:rsidP="00E2608B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7089F370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774CFA4F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lastRenderedPageBreak/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5F2B94D2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25F91A53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6073BA6B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52C373A9" w14:textId="77777777" w:rsidR="00E2608B" w:rsidRPr="00981C24" w:rsidRDefault="00E2608B" w:rsidP="00E2608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2F38FD9A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3865C34E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33025051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7AD00A1D" w14:textId="77777777" w:rsidR="00E2608B" w:rsidRPr="00702017" w:rsidRDefault="00E2608B" w:rsidP="00E2608B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1A2100CF" w14:textId="77777777" w:rsidR="00E2608B" w:rsidRPr="00702017" w:rsidRDefault="00E2608B" w:rsidP="00E2608B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7F28CBDA" w14:textId="77777777" w:rsidR="00E2608B" w:rsidRPr="00702017" w:rsidRDefault="00E2608B" w:rsidP="00E2608B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5B217569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2DA229DE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412CF2A1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7464E12D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5D1F819E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1CBC776C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053E28BA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3CAD2DC7" w14:textId="77777777" w:rsidR="00E2608B" w:rsidRPr="00075563" w:rsidRDefault="00E2608B" w:rsidP="00E2608B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5AC20CB3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616E0DF6" w14:textId="77777777" w:rsidR="00E2608B" w:rsidRPr="00783921" w:rsidRDefault="00E2608B" w:rsidP="00E2608B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561A7586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501B89BE" w14:textId="77777777" w:rsidR="00E2608B" w:rsidRPr="00546B31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4B8025B9" w14:textId="77777777" w:rsidR="00E2608B" w:rsidRPr="00053091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0E341309" w14:textId="77777777" w:rsidR="00E2608B" w:rsidRPr="0003357F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7ECAF82A" w14:textId="77777777" w:rsidR="00E2608B" w:rsidRDefault="00E2608B" w:rsidP="00E2608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4B9F506E" w14:textId="77777777" w:rsidR="00E2608B" w:rsidRDefault="00E2608B" w:rsidP="00E2608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39DD5877" w14:textId="77777777" w:rsidR="00E2608B" w:rsidRDefault="00E2608B" w:rsidP="00E2608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7B979229" w14:textId="77777777" w:rsidR="00E2608B" w:rsidRDefault="00E2608B" w:rsidP="00E2608B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00CF334C" w14:textId="77777777" w:rsidR="00E2608B" w:rsidRPr="0003357F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27EF9C97" w14:textId="77777777" w:rsidR="00E2608B" w:rsidRDefault="00E2608B" w:rsidP="00E2608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2E570641" w14:textId="77777777" w:rsidR="00E2608B" w:rsidRPr="00981C24" w:rsidRDefault="00E2608B" w:rsidP="00E2608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E2608B" w:rsidRPr="00536442" w14:paraId="3B249854" w14:textId="77777777" w:rsidTr="0063269E">
        <w:tc>
          <w:tcPr>
            <w:tcW w:w="1441" w:type="dxa"/>
          </w:tcPr>
          <w:p w14:paraId="5B97AFD6" w14:textId="77777777" w:rsidR="00E2608B" w:rsidRPr="002569CC" w:rsidRDefault="00E2608B" w:rsidP="0063269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5417A1F" w14:textId="77777777" w:rsidR="00E2608B" w:rsidRPr="002569CC" w:rsidRDefault="00E2608B" w:rsidP="0063269E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1BF6E376" w14:textId="77777777" w:rsidR="00E2608B" w:rsidRPr="002569CC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980E46E" w14:textId="77777777" w:rsidR="00E2608B" w:rsidRPr="002569CC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0C84381" w14:textId="77777777" w:rsidR="00E2608B" w:rsidRPr="002569CC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DD262C9" w14:textId="77777777" w:rsidR="00E2608B" w:rsidRPr="00BD2596" w:rsidRDefault="00E2608B" w:rsidP="0063269E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E2608B" w:rsidRPr="00536442" w14:paraId="0EBD4CB7" w14:textId="77777777" w:rsidTr="0063269E">
        <w:tc>
          <w:tcPr>
            <w:tcW w:w="1441" w:type="dxa"/>
          </w:tcPr>
          <w:p w14:paraId="05F4AA28" w14:textId="77777777" w:rsidR="00E2608B" w:rsidRPr="00493562" w:rsidRDefault="00E2608B" w:rsidP="0063269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63079A1" w14:textId="77777777" w:rsidR="00E2608B" w:rsidRPr="00493562" w:rsidRDefault="00E2608B" w:rsidP="0063269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5CB6D8B3" w14:textId="77777777" w:rsidR="00E2608B" w:rsidRPr="00493562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DA4223E" w14:textId="77777777" w:rsidR="00E2608B" w:rsidRPr="00493562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CC28ED9" w14:textId="77777777" w:rsidR="00E2608B" w:rsidRPr="00493562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5EEEEB14" w14:textId="77777777" w:rsidR="00E2608B" w:rsidRPr="00BD2596" w:rsidRDefault="00E2608B" w:rsidP="0063269E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E2608B" w:rsidRPr="00F86A6E" w14:paraId="7B2253DB" w14:textId="77777777" w:rsidTr="0063269E">
        <w:tc>
          <w:tcPr>
            <w:tcW w:w="1441" w:type="dxa"/>
          </w:tcPr>
          <w:p w14:paraId="0F34B1EB" w14:textId="77777777" w:rsidR="00E2608B" w:rsidRPr="00F86A6E" w:rsidRDefault="00E2608B" w:rsidP="0063269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39A4901" w14:textId="77777777" w:rsidR="00E2608B" w:rsidRPr="00F86A6E" w:rsidRDefault="00E2608B" w:rsidP="0063269E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00EF93E4" w14:textId="77777777" w:rsidR="00E2608B" w:rsidRPr="00F86A6E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209544B" w14:textId="77777777" w:rsidR="00E2608B" w:rsidRPr="00F86A6E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AF37925" w14:textId="77777777" w:rsidR="00E2608B" w:rsidRPr="00F86A6E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297B52C0" w14:textId="77777777" w:rsidR="00E2608B" w:rsidRPr="00F86A6E" w:rsidRDefault="00E2608B" w:rsidP="006326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50F6BB6F" w14:textId="77777777" w:rsidR="00E2608B" w:rsidRDefault="00E2608B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79FA1D78" w14:textId="77777777" w:rsidR="00E2608B" w:rsidRDefault="00E2608B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10C1176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5146A" w:rsidRPr="00A75548" w14:paraId="3FC558A7" w14:textId="77777777" w:rsidTr="00592EB0">
        <w:trPr>
          <w:trHeight w:hRule="exact" w:val="3402"/>
        </w:trPr>
        <w:tc>
          <w:tcPr>
            <w:tcW w:w="3341" w:type="dxa"/>
            <w:vAlign w:val="bottom"/>
          </w:tcPr>
          <w:p w14:paraId="1706A12E" w14:textId="77777777" w:rsidR="0075146A" w:rsidRPr="00A75548" w:rsidRDefault="0075146A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00EC38F" wp14:editId="21710637">
                  <wp:extent cx="1082675" cy="2160270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6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46215DC" w14:textId="77777777" w:rsidR="0075146A" w:rsidRPr="00A75548" w:rsidRDefault="0075146A" w:rsidP="00592E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808277A" wp14:editId="3BDF2F57">
                  <wp:extent cx="2128133" cy="2128133"/>
                  <wp:effectExtent l="0" t="0" r="5715" b="5715"/>
                  <wp:docPr id="3" name="Picture 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ystemfix_drawing_fron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2005" cy="2142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1ED82F1" w14:textId="77777777" w:rsidR="0075146A" w:rsidRPr="00A75548" w:rsidRDefault="0075146A" w:rsidP="00592E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C27E309" wp14:editId="213DC695">
                  <wp:extent cx="1985010" cy="1985010"/>
                  <wp:effectExtent l="0" t="0" r="0" b="0"/>
                  <wp:docPr id="7" name="Picture 7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ystemfix_drawing_side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E6D750" w14:textId="77777777" w:rsidR="00EE09E5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2DEC6F9" w14:textId="77777777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3783E6B2" w14:textId="77777777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5A3602E5" w14:textId="77777777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T = 12 cm (épaisseur)</w:t>
      </w:r>
    </w:p>
    <w:sectPr w:rsidR="00E57C3C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414ED" w14:textId="77777777" w:rsidR="008E0B16" w:rsidRDefault="008E0B16">
      <w:r>
        <w:separator/>
      </w:r>
    </w:p>
  </w:endnote>
  <w:endnote w:type="continuationSeparator" w:id="0">
    <w:p w14:paraId="2071218A" w14:textId="77777777" w:rsidR="008E0B16" w:rsidRDefault="008E0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C57A7B8" w14:textId="77777777">
      <w:tc>
        <w:tcPr>
          <w:tcW w:w="3392" w:type="dxa"/>
        </w:tcPr>
        <w:p w14:paraId="1324FE21" w14:textId="4CCC1A99" w:rsidR="007C7FFA" w:rsidRDefault="00552888" w:rsidP="00C742E4">
          <w:pPr>
            <w:pStyle w:val="Footer"/>
          </w:pPr>
          <w:r>
            <w:t>Version 0</w:t>
          </w:r>
          <w:r w:rsidR="00C51B13">
            <w:t>2</w:t>
          </w:r>
          <w:r>
            <w:t>.00</w:t>
          </w:r>
        </w:p>
      </w:tc>
      <w:tc>
        <w:tcPr>
          <w:tcW w:w="3392" w:type="dxa"/>
        </w:tcPr>
        <w:p w14:paraId="0D35EE9D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90FC078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69C9F570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13A90" w14:textId="77777777" w:rsidR="008E0B16" w:rsidRDefault="008E0B16">
      <w:r>
        <w:separator/>
      </w:r>
    </w:p>
  </w:footnote>
  <w:footnote w:type="continuationSeparator" w:id="0">
    <w:p w14:paraId="1A47C14F" w14:textId="77777777" w:rsidR="008E0B16" w:rsidRDefault="008E0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96D8D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07796E" w:rsidRPr="00F86A6E">
      <w:rPr>
        <w:rFonts w:ascii="Arial" w:hAnsi="Arial" w:cs="Arial"/>
        <w:b/>
        <w:bCs/>
        <w:lang w:val="fr-FR"/>
      </w:rPr>
      <w:t>S</w:t>
    </w:r>
    <w:r w:rsidR="00A86C4C" w:rsidRPr="00F86A6E">
      <w:rPr>
        <w:rFonts w:ascii="Arial" w:hAnsi="Arial" w:cs="Arial"/>
        <w:b/>
        <w:bCs/>
        <w:lang w:val="fr-FR"/>
      </w:rPr>
      <w:t>ystemfix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903FF97" wp14:editId="29713D2B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2C87B3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65743B" w:rsidRPr="006E5FD1">
      <w:rPr>
        <w:rFonts w:ascii="Arial" w:hAnsi="Arial"/>
        <w:b/>
        <w:lang w:val="fr-FR"/>
      </w:rPr>
      <w:t>111.305.00.5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63905225">
    <w:abstractNumId w:val="16"/>
  </w:num>
  <w:num w:numId="2" w16cid:durableId="2007977936">
    <w:abstractNumId w:val="22"/>
  </w:num>
  <w:num w:numId="3" w16cid:durableId="118114851">
    <w:abstractNumId w:val="4"/>
  </w:num>
  <w:num w:numId="4" w16cid:durableId="373817583">
    <w:abstractNumId w:val="3"/>
  </w:num>
  <w:num w:numId="5" w16cid:durableId="788161971">
    <w:abstractNumId w:val="13"/>
  </w:num>
  <w:num w:numId="6" w16cid:durableId="550388486">
    <w:abstractNumId w:val="15"/>
  </w:num>
  <w:num w:numId="7" w16cid:durableId="1135413089">
    <w:abstractNumId w:val="6"/>
  </w:num>
  <w:num w:numId="8" w16cid:durableId="1847086841">
    <w:abstractNumId w:val="19"/>
  </w:num>
  <w:num w:numId="9" w16cid:durableId="243103224">
    <w:abstractNumId w:val="25"/>
  </w:num>
  <w:num w:numId="10" w16cid:durableId="258871279">
    <w:abstractNumId w:val="2"/>
  </w:num>
  <w:num w:numId="11" w16cid:durableId="2064519656">
    <w:abstractNumId w:val="12"/>
  </w:num>
  <w:num w:numId="12" w16cid:durableId="645285092">
    <w:abstractNumId w:val="11"/>
  </w:num>
  <w:num w:numId="13" w16cid:durableId="106631031">
    <w:abstractNumId w:val="24"/>
  </w:num>
  <w:num w:numId="14" w16cid:durableId="1347563333">
    <w:abstractNumId w:val="7"/>
  </w:num>
  <w:num w:numId="15" w16cid:durableId="784157964">
    <w:abstractNumId w:val="0"/>
  </w:num>
  <w:num w:numId="16" w16cid:durableId="1239634226">
    <w:abstractNumId w:val="10"/>
  </w:num>
  <w:num w:numId="17" w16cid:durableId="364331585">
    <w:abstractNumId w:val="5"/>
  </w:num>
  <w:num w:numId="18" w16cid:durableId="1416592634">
    <w:abstractNumId w:val="20"/>
  </w:num>
  <w:num w:numId="19" w16cid:durableId="109710730">
    <w:abstractNumId w:val="21"/>
  </w:num>
  <w:num w:numId="20" w16cid:durableId="576593410">
    <w:abstractNumId w:val="18"/>
  </w:num>
  <w:num w:numId="21" w16cid:durableId="1988977188">
    <w:abstractNumId w:val="17"/>
  </w:num>
  <w:num w:numId="22" w16cid:durableId="1099254741">
    <w:abstractNumId w:val="14"/>
  </w:num>
  <w:num w:numId="23" w16cid:durableId="714694815">
    <w:abstractNumId w:val="23"/>
  </w:num>
  <w:num w:numId="24" w16cid:durableId="1639147968">
    <w:abstractNumId w:val="8"/>
  </w:num>
  <w:num w:numId="25" w16cid:durableId="2067099923">
    <w:abstractNumId w:val="9"/>
  </w:num>
  <w:num w:numId="26" w16cid:durableId="701714670">
    <w:abstractNumId w:val="1"/>
  </w:num>
  <w:num w:numId="27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A53AB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260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1552"/>
    <w:rsid w:val="00532AC1"/>
    <w:rsid w:val="00533DF0"/>
    <w:rsid w:val="00535D6A"/>
    <w:rsid w:val="00536442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6EB9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57E0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2285"/>
    <w:rsid w:val="007226B5"/>
    <w:rsid w:val="00723A36"/>
    <w:rsid w:val="00731A03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0B16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7334"/>
    <w:rsid w:val="00A0780F"/>
    <w:rsid w:val="00A07E31"/>
    <w:rsid w:val="00A14E12"/>
    <w:rsid w:val="00A20762"/>
    <w:rsid w:val="00A220AA"/>
    <w:rsid w:val="00A2667C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B4117"/>
    <w:rsid w:val="00AD209D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BF6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3E1B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1B13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7570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86B34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608B"/>
    <w:rsid w:val="00E2722A"/>
    <w:rsid w:val="00E274B8"/>
    <w:rsid w:val="00E302DD"/>
    <w:rsid w:val="00E31440"/>
    <w:rsid w:val="00E35CA5"/>
    <w:rsid w:val="00E479D0"/>
    <w:rsid w:val="00E515BB"/>
    <w:rsid w:val="00E53CDB"/>
    <w:rsid w:val="00E54063"/>
    <w:rsid w:val="00E54390"/>
    <w:rsid w:val="00E5566D"/>
    <w:rsid w:val="00E56065"/>
    <w:rsid w:val="00E56D4B"/>
    <w:rsid w:val="00E57C3C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5347"/>
    <w:rsid w:val="00EF702D"/>
    <w:rsid w:val="00F019E6"/>
    <w:rsid w:val="00F01FF0"/>
    <w:rsid w:val="00F0309A"/>
    <w:rsid w:val="00F04D55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33CD"/>
    <w:rsid w:val="00F767A7"/>
    <w:rsid w:val="00F77685"/>
    <w:rsid w:val="00F77BF7"/>
    <w:rsid w:val="00F821DD"/>
    <w:rsid w:val="00F836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7FB404D6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B6C0B14-64F0-4D63-A6B3-CE3A6936F7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6ED12C-D30A-4497-B03F-3317BDA2109E}"/>
</file>

<file path=customXml/itemProps3.xml><?xml version="1.0" encoding="utf-8"?>
<ds:datastoreItem xmlns:ds="http://schemas.openxmlformats.org/officeDocument/2006/customXml" ds:itemID="{AE05C331-7560-4B8A-A8CB-2678BA36D98F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</TotalTime>
  <Pages>4</Pages>
  <Words>1108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2012-01-13T10:23:00Z</cp:lastPrinted>
  <dcterms:created xsi:type="dcterms:W3CDTF">2023-11-27T14:30:00Z</dcterms:created>
  <dcterms:modified xsi:type="dcterms:W3CDTF">2023-12-05T13:40:00Z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