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83D3FD-54A6-4F0A-A216-3F3BB1884B25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