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CEFD54-78FF-4C61-9838-F1468AAA97C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